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8A24" w14:textId="5B08A4CC" w:rsidR="00B74B61" w:rsidRPr="007C4832" w:rsidRDefault="00B74B61" w:rsidP="00903E63">
      <w:pPr>
        <w:spacing w:before="92"/>
        <w:ind w:right="504"/>
        <w:rPr>
          <w:rFonts w:ascii="Verdana" w:hAnsi="Verdana"/>
          <w:b/>
          <w:sz w:val="14"/>
          <w:szCs w:val="14"/>
        </w:rPr>
      </w:pPr>
    </w:p>
    <w:p w14:paraId="7D694A8C" w14:textId="77777777" w:rsidR="007C4832" w:rsidRDefault="007C4832" w:rsidP="003B27BD">
      <w:pPr>
        <w:pStyle w:val="Encabezado"/>
        <w:jc w:val="center"/>
        <w:rPr>
          <w:sz w:val="20"/>
          <w:szCs w:val="14"/>
        </w:rPr>
      </w:pPr>
    </w:p>
    <w:p w14:paraId="625218AE" w14:textId="77777777" w:rsidR="00245789" w:rsidRDefault="00245789" w:rsidP="003B27BD">
      <w:pPr>
        <w:pStyle w:val="Encabezado"/>
        <w:jc w:val="center"/>
        <w:rPr>
          <w:sz w:val="20"/>
          <w:szCs w:val="14"/>
        </w:rPr>
      </w:pPr>
    </w:p>
    <w:p w14:paraId="7AEBB793" w14:textId="77777777" w:rsidR="00245789" w:rsidRDefault="00245789" w:rsidP="003B27BD">
      <w:pPr>
        <w:pStyle w:val="Encabezado"/>
        <w:jc w:val="center"/>
        <w:rPr>
          <w:sz w:val="20"/>
          <w:szCs w:val="14"/>
        </w:rPr>
      </w:pPr>
    </w:p>
    <w:p w14:paraId="2F2DAA84" w14:textId="0289C8DF" w:rsidR="003B27BD" w:rsidRPr="007C4832" w:rsidRDefault="00B74B61" w:rsidP="003B27BD">
      <w:pPr>
        <w:pStyle w:val="Encabezado"/>
        <w:jc w:val="center"/>
        <w:rPr>
          <w:sz w:val="20"/>
          <w:szCs w:val="14"/>
        </w:rPr>
      </w:pPr>
      <w:bookmarkStart w:id="0" w:name="_GoBack"/>
      <w:bookmarkEnd w:id="0"/>
      <w:r w:rsidRPr="007C4832">
        <w:rPr>
          <w:sz w:val="20"/>
          <w:szCs w:val="14"/>
        </w:rPr>
        <w:t>FORMUL</w:t>
      </w:r>
      <w:r w:rsidR="00024A8D" w:rsidRPr="007C4832">
        <w:rPr>
          <w:sz w:val="20"/>
          <w:szCs w:val="14"/>
        </w:rPr>
        <w:t>ARIO 01</w:t>
      </w:r>
      <w:r w:rsidR="002E6744" w:rsidRPr="007C4832">
        <w:rPr>
          <w:rStyle w:val="Refdenotaalpie"/>
          <w:sz w:val="20"/>
          <w:szCs w:val="14"/>
        </w:rPr>
        <w:footnoteReference w:id="1"/>
      </w:r>
    </w:p>
    <w:p w14:paraId="7BBB571C" w14:textId="77777777" w:rsidR="00B74B61" w:rsidRPr="007C4832" w:rsidRDefault="00B74B61" w:rsidP="00B74B61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16"/>
          <w:szCs w:val="14"/>
          <w:lang w:val="es-EC"/>
        </w:rPr>
      </w:pPr>
      <w:r w:rsidRPr="007C4832">
        <w:rPr>
          <w:rFonts w:asciiTheme="majorHAnsi" w:eastAsiaTheme="majorEastAsia" w:hAnsiTheme="majorHAnsi" w:cstheme="majorBidi"/>
          <w:b/>
          <w:color w:val="2E74B5" w:themeColor="accent1" w:themeShade="BF"/>
          <w:sz w:val="16"/>
          <w:szCs w:val="14"/>
          <w:lang w:val="es-EC"/>
        </w:rPr>
        <w:t>Programa para prevenir el soborno en la cadena de valor empresarial</w:t>
      </w:r>
    </w:p>
    <w:p w14:paraId="7CD3B134" w14:textId="77777777" w:rsidR="001B5CA7" w:rsidRPr="007C4832" w:rsidRDefault="001B5CA7" w:rsidP="001B5CA7">
      <w:pPr>
        <w:rPr>
          <w:sz w:val="14"/>
          <w:szCs w:val="14"/>
          <w:lang w:val="es-EC"/>
        </w:rPr>
      </w:pPr>
    </w:p>
    <w:p w14:paraId="60084078" w14:textId="056C8032" w:rsidR="000C057C" w:rsidRPr="007C4832" w:rsidRDefault="00B74B61" w:rsidP="009F0AB3">
      <w:pPr>
        <w:spacing w:before="92"/>
        <w:ind w:left="511" w:right="504"/>
        <w:jc w:val="center"/>
        <w:rPr>
          <w:rFonts w:ascii="Verdana" w:hAnsi="Verdana"/>
          <w:b/>
          <w:sz w:val="18"/>
          <w:szCs w:val="14"/>
        </w:rPr>
      </w:pPr>
      <w:r w:rsidRPr="007C4832">
        <w:rPr>
          <w:rFonts w:ascii="Verdana" w:hAnsi="Verdana"/>
          <w:b/>
          <w:sz w:val="18"/>
          <w:szCs w:val="14"/>
        </w:rPr>
        <w:t xml:space="preserve">AUTO </w:t>
      </w:r>
      <w:r w:rsidR="00BE0D20">
        <w:rPr>
          <w:rFonts w:ascii="Verdana" w:hAnsi="Verdana"/>
          <w:b/>
          <w:sz w:val="18"/>
          <w:szCs w:val="14"/>
        </w:rPr>
        <w:t>EVALUACIÓN</w:t>
      </w:r>
    </w:p>
    <w:p w14:paraId="0847E70C" w14:textId="4B5DCBC1" w:rsidR="00B74B61" w:rsidRDefault="00B74B61" w:rsidP="009F0AB3">
      <w:pPr>
        <w:spacing w:before="92"/>
        <w:ind w:left="511" w:right="504"/>
        <w:jc w:val="center"/>
        <w:rPr>
          <w:rFonts w:ascii="Verdana" w:hAnsi="Verdana"/>
          <w:b/>
          <w:sz w:val="18"/>
          <w:szCs w:val="14"/>
        </w:rPr>
      </w:pPr>
    </w:p>
    <w:p w14:paraId="685E7E5B" w14:textId="77777777" w:rsidR="007C4832" w:rsidRPr="007C4832" w:rsidRDefault="007C4832" w:rsidP="009F0AB3">
      <w:pPr>
        <w:spacing w:before="92"/>
        <w:ind w:left="511" w:right="504"/>
        <w:jc w:val="center"/>
        <w:rPr>
          <w:rFonts w:ascii="Verdana" w:hAnsi="Verdana"/>
          <w:b/>
          <w:sz w:val="18"/>
          <w:szCs w:val="14"/>
        </w:rPr>
      </w:pPr>
    </w:p>
    <w:p w14:paraId="474DC5B9" w14:textId="77777777" w:rsidR="00245789" w:rsidRDefault="00245789" w:rsidP="00B74B61">
      <w:pPr>
        <w:spacing w:before="92"/>
        <w:ind w:right="504"/>
        <w:jc w:val="both"/>
        <w:rPr>
          <w:rFonts w:ascii="Verdana" w:hAnsi="Verdana"/>
          <w:sz w:val="18"/>
          <w:szCs w:val="14"/>
        </w:rPr>
      </w:pPr>
    </w:p>
    <w:p w14:paraId="6E7C7EE3" w14:textId="625DE602" w:rsidR="00B74B61" w:rsidRDefault="00B74B61" w:rsidP="00B74B61">
      <w:pPr>
        <w:spacing w:before="92"/>
        <w:ind w:right="504"/>
        <w:jc w:val="both"/>
        <w:rPr>
          <w:rFonts w:ascii="Verdana" w:hAnsi="Verdana"/>
          <w:sz w:val="18"/>
          <w:szCs w:val="14"/>
        </w:rPr>
      </w:pPr>
      <w:r w:rsidRPr="007C4832">
        <w:rPr>
          <w:rFonts w:ascii="Verdana" w:hAnsi="Verdana"/>
          <w:sz w:val="18"/>
          <w:szCs w:val="14"/>
        </w:rPr>
        <w:t xml:space="preserve">La presente auto evaluación tiene el propósito de servir como insumo interno para que la </w:t>
      </w:r>
      <w:r w:rsidR="00BE0D20">
        <w:rPr>
          <w:rFonts w:ascii="Verdana" w:hAnsi="Verdana"/>
          <w:sz w:val="18"/>
          <w:szCs w:val="14"/>
        </w:rPr>
        <w:t xml:space="preserve">empresa </w:t>
      </w:r>
      <w:r w:rsidRPr="007C4832">
        <w:rPr>
          <w:rFonts w:ascii="Verdana" w:hAnsi="Verdana"/>
          <w:sz w:val="18"/>
          <w:szCs w:val="14"/>
        </w:rPr>
        <w:t>evalúe su</w:t>
      </w:r>
      <w:r w:rsidR="00396B80" w:rsidRPr="007C4832">
        <w:rPr>
          <w:rFonts w:ascii="Verdana" w:hAnsi="Verdana"/>
          <w:sz w:val="18"/>
          <w:szCs w:val="14"/>
        </w:rPr>
        <w:t xml:space="preserve">s </w:t>
      </w:r>
      <w:r w:rsidR="00974FD3" w:rsidRPr="007C4832">
        <w:rPr>
          <w:rFonts w:ascii="Verdana" w:hAnsi="Verdana"/>
          <w:sz w:val="18"/>
          <w:szCs w:val="14"/>
        </w:rPr>
        <w:t xml:space="preserve">buenas </w:t>
      </w:r>
      <w:r w:rsidR="00396B80" w:rsidRPr="007C4832">
        <w:rPr>
          <w:rFonts w:ascii="Verdana" w:hAnsi="Verdana"/>
          <w:sz w:val="18"/>
          <w:szCs w:val="14"/>
        </w:rPr>
        <w:t>prácticas internas anti soborno</w:t>
      </w:r>
      <w:r w:rsidRPr="007C4832">
        <w:rPr>
          <w:rFonts w:ascii="Verdana" w:hAnsi="Verdana"/>
          <w:sz w:val="18"/>
          <w:szCs w:val="14"/>
        </w:rPr>
        <w:t>.</w:t>
      </w:r>
    </w:p>
    <w:p w14:paraId="1E0AAE13" w14:textId="1BDEAA6D" w:rsidR="007C4832" w:rsidRDefault="007C4832" w:rsidP="00B74B61">
      <w:pPr>
        <w:spacing w:before="92"/>
        <w:ind w:right="504"/>
        <w:jc w:val="both"/>
        <w:rPr>
          <w:rFonts w:ascii="Verdana" w:hAnsi="Verdana"/>
          <w:sz w:val="18"/>
          <w:szCs w:val="14"/>
        </w:rPr>
      </w:pPr>
    </w:p>
    <w:p w14:paraId="483CDFAE" w14:textId="77777777" w:rsidR="00245789" w:rsidRPr="007C4832" w:rsidRDefault="00245789" w:rsidP="00B74B61">
      <w:pPr>
        <w:spacing w:before="92"/>
        <w:ind w:right="504"/>
        <w:jc w:val="both"/>
        <w:rPr>
          <w:rFonts w:ascii="Verdana" w:hAnsi="Verdana"/>
          <w:sz w:val="18"/>
          <w:szCs w:val="14"/>
        </w:rPr>
      </w:pPr>
    </w:p>
    <w:p w14:paraId="04165EB2" w14:textId="4E5950F6" w:rsidR="00B74B61" w:rsidRPr="007C4832" w:rsidRDefault="00B74B61" w:rsidP="009F0AB3">
      <w:pPr>
        <w:spacing w:before="92"/>
        <w:ind w:left="511" w:right="504"/>
        <w:jc w:val="center"/>
        <w:rPr>
          <w:rFonts w:ascii="Verdana" w:hAnsi="Verdana"/>
          <w:b/>
          <w:sz w:val="16"/>
          <w:szCs w:val="14"/>
        </w:rPr>
      </w:pPr>
    </w:p>
    <w:tbl>
      <w:tblPr>
        <w:tblW w:w="13781" w:type="dxa"/>
        <w:tblLook w:val="04A0" w:firstRow="1" w:lastRow="0" w:firstColumn="1" w:lastColumn="0" w:noHBand="0" w:noVBand="1"/>
      </w:tblPr>
      <w:tblGrid>
        <w:gridCol w:w="732"/>
        <w:gridCol w:w="5167"/>
        <w:gridCol w:w="1791"/>
        <w:gridCol w:w="1612"/>
        <w:gridCol w:w="1791"/>
        <w:gridCol w:w="2688"/>
      </w:tblGrid>
      <w:tr w:rsidR="00B74B61" w:rsidRPr="007C4832" w14:paraId="28857203" w14:textId="77777777" w:rsidTr="00245789">
        <w:trPr>
          <w:trHeight w:val="266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8CFCDB2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1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713130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Evaluación</w:t>
            </w:r>
            <w:proofErr w:type="spellEnd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 de </w:t>
            </w: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riesgos</w:t>
            </w:r>
            <w:proofErr w:type="spellEnd"/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1CF07C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Si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E6A5B9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No 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149C60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Parcial</w:t>
            </w:r>
            <w:proofErr w:type="spellEnd"/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63F6152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Observaciones</w:t>
            </w:r>
            <w:proofErr w:type="spellEnd"/>
          </w:p>
        </w:tc>
      </w:tr>
      <w:tr w:rsidR="00B74B61" w:rsidRPr="007C4832" w14:paraId="78D9F811" w14:textId="77777777" w:rsidTr="00245789">
        <w:trPr>
          <w:trHeight w:val="80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B429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1,1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3EEB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La empresa cuenta con una evaluación de riesgos con respecto al soborno (por lo menos una vez al año).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95CA" w14:textId="68CD242F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26B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85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2C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3E69A0E0" w14:textId="77777777" w:rsidTr="00245789">
        <w:trPr>
          <w:trHeight w:val="97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9F35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1,2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97FD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Se ha identificado dónde existen riesgos de Soborno dentro de su cadena de valor (ejemplo: compras/ventas con sector Público, otros proveedores de su cadena, términos de pago, comisiones claras y apropiadas)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6F53" w14:textId="7FBB8599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6F4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1CD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500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688FC91E" w14:textId="77777777" w:rsidTr="00245789">
        <w:trPr>
          <w:trHeight w:val="54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C203A8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B722C94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Política</w:t>
            </w:r>
            <w:proofErr w:type="spellEnd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 Anti </w:t>
            </w: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Soborno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624F3F3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AF5E02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No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CB65D6D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Parcial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B2AEB3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Observaciones</w:t>
            </w:r>
            <w:proofErr w:type="spellEnd"/>
          </w:p>
        </w:tc>
      </w:tr>
      <w:tr w:rsidR="00B74B61" w:rsidRPr="007C4832" w14:paraId="24B98946" w14:textId="77777777" w:rsidTr="00245789">
        <w:trPr>
          <w:trHeight w:val="86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8034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31D8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Existe el apoyo y compromiso del Representante Legal para implementar una Política Anti Soborno.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F51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954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B2AB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2217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0D0512A8" w14:textId="77777777" w:rsidTr="00245789">
        <w:trPr>
          <w:trHeight w:val="108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0FC1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4A55" w14:textId="40559B66" w:rsidR="00B74B61" w:rsidRPr="007C4832" w:rsidRDefault="00B74B61" w:rsidP="0085489B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bCs/>
                <w:color w:val="92D05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92D050"/>
                <w:sz w:val="14"/>
                <w:szCs w:val="14"/>
                <w:lang w:val="es-EC" w:eastAsia="en-US" w:bidi="ar-SA"/>
              </w:rPr>
              <w:t>Existe</w:t>
            </w: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 una política que prohíbe el soborno</w:t>
            </w:r>
            <w:r w:rsidR="0085489B"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,</w:t>
            </w: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 está documentada formalmente y disponible públicamente para todas las partes interesadas en un lenguaje claro y fácil de entender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9C62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3F0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F13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C17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0B9566DB" w14:textId="77777777" w:rsidTr="00245789">
        <w:trPr>
          <w:trHeight w:val="97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6664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B602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La política que prohíbe el soborno está respaldada por ejemplos de la vida real o descripciones de casos genéricos para </w:t>
            </w:r>
            <w:r w:rsidRPr="007C4832">
              <w:rPr>
                <w:rFonts w:ascii="Verdana" w:eastAsia="Times New Roman" w:hAnsi="Verdana" w:cs="Calibri"/>
                <w:b/>
                <w:bCs/>
                <w:color w:val="92D050"/>
                <w:sz w:val="14"/>
                <w:szCs w:val="14"/>
                <w:lang w:val="es-EC" w:eastAsia="en-US" w:bidi="ar-SA"/>
              </w:rPr>
              <w:t>capacitación</w:t>
            </w: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66F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A523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0B4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7B4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55553077" w14:textId="77777777" w:rsidTr="00245789">
        <w:trPr>
          <w:trHeight w:val="129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9009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lastRenderedPageBreak/>
              <w:t>2,4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971D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El Representante Legal ha nombrado por lo menos 1 persona que cumpla con la función de la ejecución/supervisión del Programa.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187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5A6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253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9C3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341B7E22" w14:textId="77777777" w:rsidTr="00245789">
        <w:trPr>
          <w:trHeight w:val="118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2570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1C38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Se comunica y capacita a todos los colaboradores y socios comerciales las políticas y los procedimientos Anti Soborno de la empresa, al menos 1 vez al año.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64B7" w14:textId="3FD2F939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883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6CC3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27B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06A148FD" w14:textId="77777777" w:rsidTr="00245789">
        <w:trPr>
          <w:trHeight w:val="1112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B259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CB8F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La comunicación y capacitación están incluidas en el proceso interno de reclutamiento a nuevos colaboradores y el externo de contratación a nuevos proveedores.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14E0" w14:textId="1BAFCCE3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ACBE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C6EB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13A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4B23A34A" w14:textId="77777777" w:rsidTr="00245789">
        <w:trPr>
          <w:trHeight w:val="883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B87F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2,7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CEE1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Se realizan exámenes regulares de la Política Anti Soborno y se evalúa el mejor curso de acción para abordar modificaciones.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798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4B7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49B5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7C0C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732C1D0A" w14:textId="77777777" w:rsidTr="00245789">
        <w:trPr>
          <w:trHeight w:val="872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19F0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2,8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CDAC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Se incorpora una claúsula antisoborno en los contratos con sus proveedores y clientes.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363E" w14:textId="257AD04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E4E7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5FD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807E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5CE848D7" w14:textId="77777777" w:rsidTr="00245789">
        <w:trPr>
          <w:trHeight w:val="92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FC78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2,9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80E7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La empresa </w:t>
            </w:r>
            <w:r w:rsidRPr="007C4832">
              <w:rPr>
                <w:rFonts w:ascii="Verdana" w:eastAsia="Times New Roman" w:hAnsi="Verdana" w:cs="Calibri"/>
                <w:b/>
                <w:bCs/>
                <w:color w:val="92D050"/>
                <w:sz w:val="14"/>
                <w:szCs w:val="14"/>
                <w:lang w:val="es-EC" w:eastAsia="en-US" w:bidi="ar-SA"/>
              </w:rPr>
              <w:t>informa</w:t>
            </w: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 a sus grupos de interés sobre sus políticas y procedimientos Anti Soborno.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FAC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99F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D9D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2A80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3F4489C9" w14:textId="77777777" w:rsidTr="00245789">
        <w:trPr>
          <w:trHeight w:val="26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4DAD90D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AC5B98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Canales de Denuncia y manejo de infracciones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E6BB99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5BC141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No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B5BE40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Parcial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482F1E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Observaciones</w:t>
            </w:r>
            <w:proofErr w:type="spellEnd"/>
          </w:p>
        </w:tc>
      </w:tr>
      <w:tr w:rsidR="00B74B61" w:rsidRPr="007C4832" w14:paraId="5EDA3513" w14:textId="77777777" w:rsidTr="00245789">
        <w:trPr>
          <w:trHeight w:val="98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AF79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3,1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8B6C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La empresa ofrece una línea segura, confidencial y de fácil acceso para la denuncia por parte de los colaboradores.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9F9A" w14:textId="32BE10A3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A9F7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4C7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1BA4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1D9CCC17" w14:textId="77777777" w:rsidTr="00245789">
        <w:trPr>
          <w:trHeight w:val="892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F337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3,1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7299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Existe una política disciplinaria clara, visible y accesible, dirigida a todos los empleados y socios comerciales.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4DE5" w14:textId="15CFEC8F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1CC4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451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9FC3" w14:textId="69A182A8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3673E74F" w14:textId="77777777" w:rsidTr="00245789">
        <w:trPr>
          <w:trHeight w:val="70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0B96B0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n-US" w:eastAsia="en-US" w:bidi="ar-SA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A0C7BC" w14:textId="31894E82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  <w:t>Pagos de facilitación</w:t>
            </w:r>
            <w:r w:rsidR="008F169D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  <w:t xml:space="preserve"> (coimas)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31B636B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CC1DDD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No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46805AE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Parcial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5AE9AC3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Observaciones</w:t>
            </w:r>
            <w:proofErr w:type="spellEnd"/>
          </w:p>
        </w:tc>
      </w:tr>
      <w:tr w:rsidR="00B74B61" w:rsidRPr="007C4832" w14:paraId="659D442F" w14:textId="77777777" w:rsidTr="00245789">
        <w:trPr>
          <w:trHeight w:val="109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8B95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lastRenderedPageBreak/>
              <w:t>4,1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8A5A" w14:textId="3EF4DE24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Dentro de la política Anti Soborno se prohíbe los pagos de facilitación </w:t>
            </w:r>
            <w:r w:rsidR="008F169D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 xml:space="preserve">(coimas) </w:t>
            </w: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con una definición amplia de los pagos de facilitación.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87385" w14:textId="4D7B7502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5A1B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19EC4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4AC27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75D129E4" w14:textId="77777777" w:rsidTr="00245789">
        <w:trPr>
          <w:trHeight w:val="1023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64D1EF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n-US" w:eastAsia="en-US" w:bidi="ar-SA"/>
              </w:rPr>
              <w:t>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CD68FF3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  <w:t>Regalos, atenciones, contribuciones políticas, benéficas, y patrocinios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5D13C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CB889C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No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44BD0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Parcial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214DF8F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Observaciones</w:t>
            </w:r>
            <w:proofErr w:type="spellEnd"/>
          </w:p>
        </w:tc>
      </w:tr>
      <w:tr w:rsidR="00B74B61" w:rsidRPr="007C4832" w14:paraId="7DDD80A8" w14:textId="77777777" w:rsidTr="00245789">
        <w:trPr>
          <w:trHeight w:val="97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11D4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5,1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E879" w14:textId="7A560FAD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Existe un claro lineamient</w:t>
            </w:r>
            <w:r w:rsidR="0085489B"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o que regule la entrega y recep</w:t>
            </w: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ción de regalos y atenciones.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70E8" w14:textId="0F72259B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C2D0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7461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8F28A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5E7532BD" w14:textId="77777777" w:rsidTr="00245789">
        <w:trPr>
          <w:trHeight w:val="130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95C8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5,2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7F118" w14:textId="77777777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Cuentan con un proceso establecido para aprobar donaciones y patrocinios (registros, dirigentes, empleados, acuerdos contractuales) para evitar conflictos de intereses y preservar la transparencia de las acciones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24F2" w14:textId="2C44302A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B423C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8EE6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FA4D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77A8F57D" w14:textId="77777777" w:rsidTr="00245789">
        <w:trPr>
          <w:trHeight w:val="125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6389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5,3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F67AC" w14:textId="77777777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Mantiene un proceso de trazabilidad en el cual sabe el destino y el fin de la donación y/o patrocinio que realizó su empresa.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8F059" w14:textId="2E43B6DF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96F6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CF68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B834D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66884F5A" w14:textId="77777777" w:rsidTr="00245789">
        <w:trPr>
          <w:trHeight w:val="769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E93E59D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n-US" w:eastAsia="en-US" w:bidi="ar-SA"/>
              </w:rPr>
              <w:t>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ADCAD72" w14:textId="77777777" w:rsidR="00B74B61" w:rsidRPr="007C4832" w:rsidRDefault="00B74B61" w:rsidP="00B74B61">
            <w:pPr>
              <w:widowControl/>
              <w:autoSpaceDE/>
              <w:autoSpaceDN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val="es-EC" w:eastAsia="en-US" w:bidi="ar-SA"/>
              </w:rPr>
              <w:t>Conflictos de intereses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EF6E075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Si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0DADA9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No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CC1F56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Parcial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CDAF225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proofErr w:type="spellStart"/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Observaciones</w:t>
            </w:r>
            <w:proofErr w:type="spellEnd"/>
          </w:p>
        </w:tc>
      </w:tr>
      <w:tr w:rsidR="00B74B61" w:rsidRPr="007C4832" w14:paraId="4DF1EEE7" w14:textId="77777777" w:rsidTr="00245789">
        <w:trPr>
          <w:trHeight w:val="1173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92EB4" w14:textId="77777777" w:rsidR="00B74B61" w:rsidRPr="007C4832" w:rsidRDefault="00B74B61" w:rsidP="00B74B61">
            <w:pPr>
              <w:widowControl/>
              <w:autoSpaceDE/>
              <w:autoSpaceDN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6,1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15E4B" w14:textId="77777777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La política Anti Soborno regula y y define procedimientos claros sobre cómo tratar situaciones de conflictos de intereses.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5836" w14:textId="0C5836F3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D7ED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5D70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07052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  <w:tr w:rsidR="00B74B61" w:rsidRPr="007C4832" w14:paraId="21258284" w14:textId="77777777" w:rsidTr="00245789">
        <w:trPr>
          <w:trHeight w:val="173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EA16" w14:textId="77777777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n-US" w:eastAsia="en-US" w:bidi="ar-SA"/>
              </w:rPr>
              <w:t>6,2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37C" w14:textId="77777777" w:rsidR="00B74B61" w:rsidRPr="007C4832" w:rsidRDefault="00B74B61" w:rsidP="00974FD3">
            <w:pPr>
              <w:widowControl/>
              <w:autoSpaceDE/>
              <w:autoSpaceDN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color w:val="000000"/>
                <w:sz w:val="14"/>
                <w:szCs w:val="14"/>
                <w:lang w:val="es-EC" w:eastAsia="en-US" w:bidi="ar-SA"/>
              </w:rPr>
              <w:t>La empresa cuenta con un formulario disponible para sus colaboradores para reportar conflictos de intereses y se actualiza periódicamente.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F8D" w14:textId="0029878A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1674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F13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B11" w14:textId="77777777" w:rsidR="00B74B61" w:rsidRPr="007C4832" w:rsidRDefault="00B74B61" w:rsidP="00B74B61">
            <w:pPr>
              <w:widowControl/>
              <w:autoSpaceDE/>
              <w:autoSpaceDN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</w:pPr>
            <w:r w:rsidRPr="007C4832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es-EC" w:eastAsia="en-US" w:bidi="ar-SA"/>
              </w:rPr>
              <w:t> </w:t>
            </w:r>
          </w:p>
        </w:tc>
      </w:tr>
    </w:tbl>
    <w:p w14:paraId="6E7601BF" w14:textId="77777777" w:rsidR="005363F7" w:rsidRPr="007C4832" w:rsidRDefault="005363F7" w:rsidP="003A49D6">
      <w:pPr>
        <w:tabs>
          <w:tab w:val="left" w:pos="2466"/>
        </w:tabs>
        <w:rPr>
          <w:rFonts w:ascii="Verdana" w:hAnsi="Verdana"/>
          <w:sz w:val="14"/>
          <w:szCs w:val="14"/>
        </w:rPr>
      </w:pPr>
    </w:p>
    <w:p w14:paraId="0360A61D" w14:textId="77777777" w:rsidR="00C1271F" w:rsidRPr="007C4832" w:rsidRDefault="00C1271F" w:rsidP="003A49D6">
      <w:pPr>
        <w:tabs>
          <w:tab w:val="left" w:pos="2466"/>
        </w:tabs>
        <w:rPr>
          <w:rFonts w:ascii="Verdana" w:hAnsi="Verdana"/>
          <w:b/>
          <w:sz w:val="14"/>
          <w:szCs w:val="14"/>
        </w:rPr>
      </w:pPr>
      <w:r w:rsidRPr="007C4832">
        <w:rPr>
          <w:rFonts w:ascii="Verdana" w:hAnsi="Verdana"/>
          <w:b/>
          <w:sz w:val="14"/>
          <w:szCs w:val="14"/>
        </w:rPr>
        <w:t>Otros Comentarios:</w:t>
      </w:r>
    </w:p>
    <w:p w14:paraId="2DD15BA9" w14:textId="77777777" w:rsidR="00C1271F" w:rsidRPr="007C4832" w:rsidRDefault="00C1271F" w:rsidP="003A49D6">
      <w:pPr>
        <w:tabs>
          <w:tab w:val="left" w:pos="2466"/>
        </w:tabs>
        <w:rPr>
          <w:rFonts w:ascii="Verdana" w:hAnsi="Verdana"/>
          <w:sz w:val="14"/>
          <w:szCs w:val="14"/>
        </w:rPr>
      </w:pPr>
      <w:r w:rsidRPr="007C4832">
        <w:rPr>
          <w:rFonts w:ascii="Verdana" w:hAnsi="Verdana"/>
          <w:noProof/>
          <w:sz w:val="14"/>
          <w:szCs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E07149" wp14:editId="718A0AED">
                <wp:simplePos x="0" y="0"/>
                <wp:positionH relativeFrom="margin">
                  <wp:posOffset>1828800</wp:posOffset>
                </wp:positionH>
                <wp:positionV relativeFrom="paragraph">
                  <wp:posOffset>61208</wp:posOffset>
                </wp:positionV>
                <wp:extent cx="6249725" cy="500933"/>
                <wp:effectExtent l="0" t="0" r="17780" b="139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5009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95EA72" id="Rounded Rectangle 36" o:spid="_x0000_s1026" style="position:absolute;margin-left:2in;margin-top:4.8pt;width:492.1pt;height:39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3B633EA" w14:textId="77777777" w:rsidR="00C1271F" w:rsidRPr="007C4832" w:rsidRDefault="00C1271F" w:rsidP="003A49D6">
      <w:pPr>
        <w:tabs>
          <w:tab w:val="left" w:pos="2466"/>
        </w:tabs>
        <w:rPr>
          <w:rFonts w:ascii="Verdana" w:hAnsi="Verdana"/>
          <w:sz w:val="14"/>
          <w:szCs w:val="14"/>
        </w:rPr>
      </w:pPr>
    </w:p>
    <w:p w14:paraId="0FF289D4" w14:textId="77777777" w:rsidR="00C1271F" w:rsidRPr="007C4832" w:rsidRDefault="00C1271F" w:rsidP="00C1271F">
      <w:pPr>
        <w:rPr>
          <w:rFonts w:ascii="Verdana" w:hAnsi="Verdana"/>
          <w:sz w:val="14"/>
          <w:szCs w:val="14"/>
        </w:rPr>
      </w:pPr>
    </w:p>
    <w:p w14:paraId="669E3A1E" w14:textId="77777777" w:rsidR="00C1271F" w:rsidRPr="007C4832" w:rsidRDefault="00C1271F" w:rsidP="00C1271F">
      <w:pPr>
        <w:rPr>
          <w:rFonts w:ascii="Verdana" w:hAnsi="Verdana"/>
          <w:sz w:val="14"/>
          <w:szCs w:val="14"/>
        </w:rPr>
      </w:pPr>
    </w:p>
    <w:p w14:paraId="4E70C86A" w14:textId="57D21C1C" w:rsidR="00F3069F" w:rsidRPr="007C4832" w:rsidRDefault="00F3069F" w:rsidP="00C1271F">
      <w:pPr>
        <w:jc w:val="both"/>
        <w:rPr>
          <w:rFonts w:ascii="Verdana" w:hAnsi="Verdana"/>
          <w:sz w:val="14"/>
          <w:szCs w:val="14"/>
        </w:rPr>
      </w:pPr>
    </w:p>
    <w:p w14:paraId="4B3175CC" w14:textId="116BB84B" w:rsidR="00DC298D" w:rsidRPr="007C4832" w:rsidRDefault="00DC298D" w:rsidP="0019173B">
      <w:pPr>
        <w:pStyle w:val="Ttulo3"/>
        <w:spacing w:before="0" w:line="227" w:lineRule="exact"/>
        <w:ind w:left="0"/>
        <w:rPr>
          <w:rFonts w:ascii="Verdana" w:hAnsi="Verdana"/>
          <w:sz w:val="14"/>
          <w:szCs w:val="14"/>
        </w:rPr>
      </w:pPr>
    </w:p>
    <w:p w14:paraId="4380E681" w14:textId="77777777" w:rsidR="00DC298D" w:rsidRPr="007C4832" w:rsidRDefault="00DC298D" w:rsidP="00DC298D">
      <w:pPr>
        <w:tabs>
          <w:tab w:val="left" w:pos="2974"/>
          <w:tab w:val="left" w:pos="5379"/>
        </w:tabs>
        <w:ind w:left="108" w:right="4244"/>
        <w:rPr>
          <w:rFonts w:ascii="Verdana" w:hAnsi="Verdana"/>
          <w:sz w:val="14"/>
          <w:szCs w:val="14"/>
        </w:rPr>
      </w:pPr>
      <w:r w:rsidRPr="007C4832">
        <w:rPr>
          <w:rFonts w:ascii="Verdana" w:hAnsi="Verdana"/>
          <w:sz w:val="14"/>
          <w:szCs w:val="14"/>
        </w:rPr>
        <w:t>Nombre:</w:t>
      </w:r>
      <w:r w:rsidRPr="007C4832">
        <w:rPr>
          <w:rFonts w:ascii="Verdana" w:hAnsi="Verdana"/>
          <w:sz w:val="14"/>
          <w:szCs w:val="14"/>
          <w:u w:val="single"/>
        </w:rPr>
        <w:tab/>
      </w:r>
      <w:r w:rsidRPr="007C4832">
        <w:rPr>
          <w:rFonts w:ascii="Verdana" w:hAnsi="Verdana"/>
          <w:sz w:val="14"/>
          <w:szCs w:val="14"/>
          <w:u w:val="single"/>
        </w:rPr>
        <w:tab/>
      </w:r>
      <w:r w:rsidRPr="007C4832">
        <w:rPr>
          <w:rFonts w:ascii="Verdana" w:hAnsi="Verdana"/>
          <w:sz w:val="14"/>
          <w:szCs w:val="14"/>
        </w:rPr>
        <w:t xml:space="preserve"> Cargo:</w:t>
      </w:r>
      <w:r w:rsidRPr="007C4832">
        <w:rPr>
          <w:rFonts w:ascii="Verdana" w:hAnsi="Verdana"/>
          <w:spacing w:val="-1"/>
          <w:sz w:val="14"/>
          <w:szCs w:val="14"/>
        </w:rPr>
        <w:t xml:space="preserve"> </w:t>
      </w:r>
      <w:r w:rsidRPr="007C4832">
        <w:rPr>
          <w:rFonts w:ascii="Verdana" w:hAnsi="Verdana"/>
          <w:sz w:val="14"/>
          <w:szCs w:val="14"/>
          <w:u w:val="single"/>
        </w:rPr>
        <w:t xml:space="preserve"> </w:t>
      </w:r>
      <w:r w:rsidRPr="007C4832">
        <w:rPr>
          <w:rFonts w:ascii="Verdana" w:hAnsi="Verdana"/>
          <w:sz w:val="14"/>
          <w:szCs w:val="14"/>
          <w:u w:val="single"/>
        </w:rPr>
        <w:tab/>
      </w:r>
    </w:p>
    <w:p w14:paraId="16898334" w14:textId="77777777" w:rsidR="009F0AB3" w:rsidRPr="007C4832" w:rsidRDefault="009F0AB3" w:rsidP="00DC298D">
      <w:pPr>
        <w:tabs>
          <w:tab w:val="left" w:pos="3415"/>
          <w:tab w:val="left" w:pos="5809"/>
        </w:tabs>
        <w:spacing w:before="57"/>
        <w:ind w:left="108" w:right="3815"/>
        <w:rPr>
          <w:rFonts w:ascii="Verdana" w:hAnsi="Verdana"/>
          <w:sz w:val="14"/>
          <w:szCs w:val="14"/>
        </w:rPr>
      </w:pPr>
    </w:p>
    <w:p w14:paraId="01A36C13" w14:textId="7FCA7F7B" w:rsidR="000C057C" w:rsidRPr="007C4832" w:rsidRDefault="00DC298D" w:rsidP="00DC298D">
      <w:pPr>
        <w:tabs>
          <w:tab w:val="left" w:pos="3415"/>
          <w:tab w:val="left" w:pos="5809"/>
        </w:tabs>
        <w:spacing w:before="57"/>
        <w:ind w:left="108" w:right="3815"/>
        <w:rPr>
          <w:rFonts w:ascii="Verdana" w:hAnsi="Verdana"/>
          <w:sz w:val="14"/>
          <w:szCs w:val="14"/>
        </w:rPr>
      </w:pPr>
      <w:r w:rsidRPr="007C4832">
        <w:rPr>
          <w:rFonts w:ascii="Verdana" w:hAnsi="Verdana"/>
          <w:sz w:val="14"/>
          <w:szCs w:val="14"/>
        </w:rPr>
        <w:t>Firma:</w:t>
      </w:r>
      <w:r w:rsidRPr="007C4832">
        <w:rPr>
          <w:rFonts w:ascii="Verdana" w:hAnsi="Verdana"/>
          <w:sz w:val="14"/>
          <w:szCs w:val="14"/>
          <w:u w:val="single"/>
        </w:rPr>
        <w:tab/>
      </w:r>
      <w:r w:rsidRPr="007C4832">
        <w:rPr>
          <w:rFonts w:ascii="Verdana" w:hAnsi="Verdana"/>
          <w:sz w:val="14"/>
          <w:szCs w:val="14"/>
          <w:u w:val="single"/>
        </w:rPr>
        <w:tab/>
      </w:r>
      <w:r w:rsidRPr="007C4832">
        <w:rPr>
          <w:rFonts w:ascii="Verdana" w:hAnsi="Verdana"/>
          <w:sz w:val="14"/>
          <w:szCs w:val="14"/>
        </w:rPr>
        <w:t xml:space="preserve"> Fecha:</w:t>
      </w:r>
      <w:r w:rsidRPr="007C4832">
        <w:rPr>
          <w:rFonts w:ascii="Verdana" w:hAnsi="Verdana"/>
          <w:spacing w:val="-2"/>
          <w:sz w:val="14"/>
          <w:szCs w:val="14"/>
        </w:rPr>
        <w:t xml:space="preserve"> </w:t>
      </w:r>
      <w:r w:rsidRPr="007C4832">
        <w:rPr>
          <w:rFonts w:ascii="Verdana" w:hAnsi="Verdana"/>
          <w:sz w:val="14"/>
          <w:szCs w:val="14"/>
          <w:u w:val="single"/>
        </w:rPr>
        <w:t xml:space="preserve"> </w:t>
      </w:r>
      <w:r w:rsidRPr="007C4832">
        <w:rPr>
          <w:rFonts w:ascii="Verdana" w:hAnsi="Verdana"/>
          <w:sz w:val="14"/>
          <w:szCs w:val="14"/>
          <w:u w:val="single"/>
        </w:rPr>
        <w:tab/>
      </w:r>
    </w:p>
    <w:sectPr w:rsidR="000C057C" w:rsidRPr="007C4832" w:rsidSect="007C4832">
      <w:headerReference w:type="default" r:id="rId8"/>
      <w:footerReference w:type="default" r:id="rId9"/>
      <w:type w:val="continuous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DA0C" w14:textId="77777777" w:rsidR="00EE22FC" w:rsidRDefault="00EE22FC" w:rsidP="00F035C1">
      <w:r>
        <w:separator/>
      </w:r>
    </w:p>
  </w:endnote>
  <w:endnote w:type="continuationSeparator" w:id="0">
    <w:p w14:paraId="2BAFE19E" w14:textId="77777777" w:rsidR="00EE22FC" w:rsidRDefault="00EE22FC" w:rsidP="00F0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C481" w14:textId="77777777" w:rsidR="00143577" w:rsidRDefault="0024578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5DA16" w14:textId="77777777" w:rsidR="00EE22FC" w:rsidRDefault="00EE22FC" w:rsidP="00F035C1">
      <w:r>
        <w:separator/>
      </w:r>
    </w:p>
  </w:footnote>
  <w:footnote w:type="continuationSeparator" w:id="0">
    <w:p w14:paraId="7466457B" w14:textId="77777777" w:rsidR="00EE22FC" w:rsidRDefault="00EE22FC" w:rsidP="00F035C1">
      <w:r>
        <w:continuationSeparator/>
      </w:r>
    </w:p>
  </w:footnote>
  <w:footnote w:id="1">
    <w:p w14:paraId="216B90C7" w14:textId="76C2D2D2" w:rsidR="002E6744" w:rsidRPr="002E6744" w:rsidRDefault="002E67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74FD3">
        <w:t>La presente auto evaluación se ha realizado con base en el “</w:t>
      </w:r>
      <w:r w:rsidR="00974FD3" w:rsidRPr="00974FD3">
        <w:rPr>
          <w:i/>
        </w:rPr>
        <w:t>Programa anticorrupción de ética y cumplimiento para las empresas: Guía Práctica, de las Naciones Unidas 2013”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30C9" w14:textId="62C40756" w:rsidR="00183AAB" w:rsidRDefault="00B93364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39B"/>
    <w:multiLevelType w:val="hybridMultilevel"/>
    <w:tmpl w:val="169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B01"/>
    <w:multiLevelType w:val="hybridMultilevel"/>
    <w:tmpl w:val="6F70B980"/>
    <w:lvl w:ilvl="0" w:tplc="1BF854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F18"/>
    <w:multiLevelType w:val="hybridMultilevel"/>
    <w:tmpl w:val="0B481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6D5"/>
    <w:multiLevelType w:val="hybridMultilevel"/>
    <w:tmpl w:val="8528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E67"/>
    <w:multiLevelType w:val="hybridMultilevel"/>
    <w:tmpl w:val="239096AE"/>
    <w:lvl w:ilvl="0" w:tplc="22AA54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74982"/>
    <w:multiLevelType w:val="hybridMultilevel"/>
    <w:tmpl w:val="3E00DE06"/>
    <w:lvl w:ilvl="0" w:tplc="BC9E8E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4C0F"/>
    <w:multiLevelType w:val="hybridMultilevel"/>
    <w:tmpl w:val="1974BE8E"/>
    <w:lvl w:ilvl="0" w:tplc="F39C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75B4"/>
    <w:multiLevelType w:val="hybridMultilevel"/>
    <w:tmpl w:val="90DE2CB8"/>
    <w:lvl w:ilvl="0" w:tplc="9000C1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739"/>
    <w:multiLevelType w:val="hybridMultilevel"/>
    <w:tmpl w:val="103E8EB0"/>
    <w:lvl w:ilvl="0" w:tplc="1BF854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4991"/>
    <w:multiLevelType w:val="hybridMultilevel"/>
    <w:tmpl w:val="EC54F63E"/>
    <w:lvl w:ilvl="0" w:tplc="DAF22E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0A9E"/>
    <w:multiLevelType w:val="hybridMultilevel"/>
    <w:tmpl w:val="E6E8D372"/>
    <w:lvl w:ilvl="0" w:tplc="5AE09A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C"/>
    <w:rsid w:val="00000CC9"/>
    <w:rsid w:val="00024A8D"/>
    <w:rsid w:val="00070BE6"/>
    <w:rsid w:val="000872B4"/>
    <w:rsid w:val="000A510F"/>
    <w:rsid w:val="000B4845"/>
    <w:rsid w:val="000C057C"/>
    <w:rsid w:val="000C6292"/>
    <w:rsid w:val="000C67F5"/>
    <w:rsid w:val="00103D8E"/>
    <w:rsid w:val="00104F1D"/>
    <w:rsid w:val="00120039"/>
    <w:rsid w:val="00141667"/>
    <w:rsid w:val="001430BE"/>
    <w:rsid w:val="00182450"/>
    <w:rsid w:val="00183AAB"/>
    <w:rsid w:val="0019173B"/>
    <w:rsid w:val="001A7A9B"/>
    <w:rsid w:val="001B5CA7"/>
    <w:rsid w:val="001F1B87"/>
    <w:rsid w:val="001F32DD"/>
    <w:rsid w:val="001F5CFC"/>
    <w:rsid w:val="00245789"/>
    <w:rsid w:val="00257F95"/>
    <w:rsid w:val="002B7AAA"/>
    <w:rsid w:val="002E6744"/>
    <w:rsid w:val="00300A03"/>
    <w:rsid w:val="0030720B"/>
    <w:rsid w:val="00360C14"/>
    <w:rsid w:val="003916D4"/>
    <w:rsid w:val="00396B80"/>
    <w:rsid w:val="003A49D6"/>
    <w:rsid w:val="003B27BD"/>
    <w:rsid w:val="003E5F77"/>
    <w:rsid w:val="00410203"/>
    <w:rsid w:val="004A35C1"/>
    <w:rsid w:val="004F2766"/>
    <w:rsid w:val="0052634A"/>
    <w:rsid w:val="005363F7"/>
    <w:rsid w:val="00546A9F"/>
    <w:rsid w:val="005A6EEE"/>
    <w:rsid w:val="005B41CB"/>
    <w:rsid w:val="005E636C"/>
    <w:rsid w:val="00696A19"/>
    <w:rsid w:val="006C5852"/>
    <w:rsid w:val="006F6BF4"/>
    <w:rsid w:val="00774BA2"/>
    <w:rsid w:val="007B6BEE"/>
    <w:rsid w:val="007C4832"/>
    <w:rsid w:val="008423B7"/>
    <w:rsid w:val="0085489B"/>
    <w:rsid w:val="008A7592"/>
    <w:rsid w:val="008B07F5"/>
    <w:rsid w:val="008C2FF7"/>
    <w:rsid w:val="008C78AE"/>
    <w:rsid w:val="008E06A3"/>
    <w:rsid w:val="008F169D"/>
    <w:rsid w:val="00903E63"/>
    <w:rsid w:val="00913557"/>
    <w:rsid w:val="00974FD3"/>
    <w:rsid w:val="00985E17"/>
    <w:rsid w:val="009B2EA4"/>
    <w:rsid w:val="009F0AB3"/>
    <w:rsid w:val="009F55B2"/>
    <w:rsid w:val="009F711A"/>
    <w:rsid w:val="00A0296C"/>
    <w:rsid w:val="00A15CB9"/>
    <w:rsid w:val="00A22267"/>
    <w:rsid w:val="00A240AB"/>
    <w:rsid w:val="00A66FB2"/>
    <w:rsid w:val="00A73781"/>
    <w:rsid w:val="00A86299"/>
    <w:rsid w:val="00B74B61"/>
    <w:rsid w:val="00B93364"/>
    <w:rsid w:val="00BC1E79"/>
    <w:rsid w:val="00BE0D20"/>
    <w:rsid w:val="00C1271F"/>
    <w:rsid w:val="00C6038C"/>
    <w:rsid w:val="00C609D7"/>
    <w:rsid w:val="00C66E5F"/>
    <w:rsid w:val="00C86D16"/>
    <w:rsid w:val="00CB60C5"/>
    <w:rsid w:val="00CC369F"/>
    <w:rsid w:val="00CC650A"/>
    <w:rsid w:val="00CD4A34"/>
    <w:rsid w:val="00D6530C"/>
    <w:rsid w:val="00DB561B"/>
    <w:rsid w:val="00DC298D"/>
    <w:rsid w:val="00DD04AD"/>
    <w:rsid w:val="00DE30B6"/>
    <w:rsid w:val="00E45C2B"/>
    <w:rsid w:val="00E46865"/>
    <w:rsid w:val="00E673F8"/>
    <w:rsid w:val="00E70DAC"/>
    <w:rsid w:val="00EE22FC"/>
    <w:rsid w:val="00F035C1"/>
    <w:rsid w:val="00F3069F"/>
    <w:rsid w:val="00F741FF"/>
    <w:rsid w:val="00F936B3"/>
    <w:rsid w:val="00FA4693"/>
    <w:rsid w:val="00FB7EE0"/>
    <w:rsid w:val="00FC6368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0EDDF"/>
  <w15:chartTrackingRefBased/>
  <w15:docId w15:val="{C3A9BC7C-B1DA-41E6-BEC1-7327E72E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0C057C"/>
    <w:pPr>
      <w:spacing w:before="11"/>
      <w:ind w:left="2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C057C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C057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057C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C057C"/>
  </w:style>
  <w:style w:type="paragraph" w:styleId="Encabezado">
    <w:name w:val="header"/>
    <w:basedOn w:val="Normal"/>
    <w:link w:val="EncabezadoCar"/>
    <w:uiPriority w:val="99"/>
    <w:unhideWhenUsed/>
    <w:rsid w:val="00F035C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5C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035C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C1"/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1B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7F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F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F95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F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F95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F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95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Cuadrculadetablaclara">
    <w:name w:val="Grid Table Light"/>
    <w:basedOn w:val="Tablanormal"/>
    <w:uiPriority w:val="40"/>
    <w:rsid w:val="003B27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7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73B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91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56D9-E0DD-4FD8-8C39-AFF4719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Andres (LATCO - Quito)</dc:creator>
  <cp:keywords/>
  <dc:description/>
  <cp:lastModifiedBy>Lopez,Luis,QUITO,Servicios Legales</cp:lastModifiedBy>
  <cp:revision>2</cp:revision>
  <cp:lastPrinted>2019-03-27T19:18:00Z</cp:lastPrinted>
  <dcterms:created xsi:type="dcterms:W3CDTF">2019-07-03T13:55:00Z</dcterms:created>
  <dcterms:modified xsi:type="dcterms:W3CDTF">2019-07-03T13:55:00Z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Maria.Salgado@EC.nestle.com</vt:lpwstr>
  </property>
  <property fmtid="{D5CDD505-2E9C-101B-9397-08002B2CF9AE}" pid="5" name="MSIP_Label_1ada0a2f-b917-4d51-b0d0-d418a10c8b23_SetDate">
    <vt:lpwstr>2019-03-27T01:25:37.0219293Z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